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4D7" w:rsidRPr="009223B3" w:rsidRDefault="009564D7" w:rsidP="009564D7">
      <w:pPr>
        <w:pStyle w:val="Ttulo2"/>
        <w:spacing w:after="240"/>
        <w:jc w:val="center"/>
        <w:rPr>
          <w:rFonts w:asciiTheme="minorHAnsi" w:hAnsiTheme="minorHAnsi"/>
          <w:color w:val="262626" w:themeColor="text1" w:themeTint="D9"/>
          <w:highlight w:val="green"/>
        </w:rPr>
      </w:pPr>
      <w:bookmarkStart w:id="0" w:name="_Toc515042404"/>
      <w:r w:rsidRPr="00705178">
        <w:rPr>
          <w:rFonts w:asciiTheme="minorHAnsi" w:hAnsiTheme="minorHAnsi"/>
          <w:color w:val="262626" w:themeColor="text1" w:themeTint="D9"/>
        </w:rPr>
        <w:t xml:space="preserve">Anexo 9. Análisis de recomendaciones no atendidas derivadas de evaluaciones </w:t>
      </w:r>
      <w:r w:rsidRPr="00A964C4">
        <w:rPr>
          <w:rFonts w:asciiTheme="minorHAnsi" w:hAnsiTheme="minorHAnsi"/>
          <w:color w:val="262626" w:themeColor="text1" w:themeTint="D9"/>
        </w:rPr>
        <w:t>externas</w:t>
      </w:r>
      <w:bookmarkEnd w:id="0"/>
    </w:p>
    <w:tbl>
      <w:tblPr>
        <w:tblStyle w:val="Tablaconcuadrcula"/>
        <w:tblW w:w="8920" w:type="dxa"/>
        <w:jc w:val="center"/>
        <w:tblLook w:val="04A0" w:firstRow="1" w:lastRow="0" w:firstColumn="1" w:lastColumn="0" w:noHBand="0" w:noVBand="1"/>
      </w:tblPr>
      <w:tblGrid>
        <w:gridCol w:w="562"/>
        <w:gridCol w:w="1224"/>
        <w:gridCol w:w="1611"/>
        <w:gridCol w:w="1121"/>
        <w:gridCol w:w="1714"/>
        <w:gridCol w:w="1275"/>
        <w:gridCol w:w="1413"/>
      </w:tblGrid>
      <w:tr w:rsidR="009564D7" w:rsidRPr="009223B3" w:rsidTr="00CD36EA">
        <w:trPr>
          <w:trHeight w:val="360"/>
          <w:tblHeader/>
          <w:jc w:val="center"/>
        </w:trPr>
        <w:tc>
          <w:tcPr>
            <w:tcW w:w="562" w:type="dxa"/>
            <w:shd w:val="clear" w:color="auto" w:fill="44546A" w:themeFill="text2"/>
            <w:vAlign w:val="center"/>
          </w:tcPr>
          <w:p w:rsidR="009564D7" w:rsidRPr="009223B3" w:rsidRDefault="009564D7" w:rsidP="00CD36EA">
            <w:pPr>
              <w:autoSpaceDE w:val="0"/>
              <w:autoSpaceDN w:val="0"/>
              <w:adjustRightInd w:val="0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9223B3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No.</w:t>
            </w:r>
          </w:p>
        </w:tc>
        <w:tc>
          <w:tcPr>
            <w:tcW w:w="1224" w:type="dxa"/>
            <w:shd w:val="clear" w:color="auto" w:fill="44546A" w:themeFill="text2"/>
            <w:vAlign w:val="center"/>
          </w:tcPr>
          <w:p w:rsidR="009564D7" w:rsidRPr="009223B3" w:rsidRDefault="009564D7" w:rsidP="00CD36EA">
            <w:pPr>
              <w:autoSpaceDE w:val="0"/>
              <w:autoSpaceDN w:val="0"/>
              <w:adjustRightInd w:val="0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9223B3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Evaluación</w:t>
            </w:r>
          </w:p>
        </w:tc>
        <w:tc>
          <w:tcPr>
            <w:tcW w:w="1611" w:type="dxa"/>
            <w:shd w:val="clear" w:color="auto" w:fill="44546A" w:themeFill="text2"/>
            <w:vAlign w:val="center"/>
          </w:tcPr>
          <w:p w:rsidR="009564D7" w:rsidRPr="009223B3" w:rsidRDefault="009564D7" w:rsidP="00CD36EA">
            <w:pPr>
              <w:autoSpaceDE w:val="0"/>
              <w:autoSpaceDN w:val="0"/>
              <w:adjustRightInd w:val="0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9223B3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Observación</w:t>
            </w:r>
          </w:p>
        </w:tc>
        <w:tc>
          <w:tcPr>
            <w:tcW w:w="1121" w:type="dxa"/>
            <w:shd w:val="clear" w:color="auto" w:fill="44546A" w:themeFill="text2"/>
            <w:vAlign w:val="center"/>
          </w:tcPr>
          <w:p w:rsidR="009564D7" w:rsidRPr="009223B3" w:rsidRDefault="009564D7" w:rsidP="00CD36EA">
            <w:pPr>
              <w:autoSpaceDE w:val="0"/>
              <w:autoSpaceDN w:val="0"/>
              <w:adjustRightInd w:val="0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9223B3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Atención</w:t>
            </w:r>
          </w:p>
        </w:tc>
        <w:tc>
          <w:tcPr>
            <w:tcW w:w="1714" w:type="dxa"/>
            <w:shd w:val="clear" w:color="auto" w:fill="44546A" w:themeFill="text2"/>
            <w:vAlign w:val="center"/>
          </w:tcPr>
          <w:p w:rsidR="009564D7" w:rsidRPr="009223B3" w:rsidRDefault="009564D7" w:rsidP="00CD36EA">
            <w:pPr>
              <w:autoSpaceDE w:val="0"/>
              <w:autoSpaceDN w:val="0"/>
              <w:adjustRightInd w:val="0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9223B3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Justificación</w:t>
            </w:r>
          </w:p>
        </w:tc>
        <w:tc>
          <w:tcPr>
            <w:tcW w:w="1275" w:type="dxa"/>
            <w:shd w:val="clear" w:color="auto" w:fill="44546A" w:themeFill="text2"/>
            <w:vAlign w:val="center"/>
          </w:tcPr>
          <w:p w:rsidR="009564D7" w:rsidRPr="009223B3" w:rsidRDefault="009564D7" w:rsidP="00CD36EA">
            <w:pPr>
              <w:autoSpaceDE w:val="0"/>
              <w:autoSpaceDN w:val="0"/>
              <w:adjustRightInd w:val="0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9223B3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Fuente</w:t>
            </w:r>
          </w:p>
        </w:tc>
        <w:tc>
          <w:tcPr>
            <w:tcW w:w="1413" w:type="dxa"/>
            <w:shd w:val="clear" w:color="auto" w:fill="44546A" w:themeFill="text2"/>
            <w:vAlign w:val="center"/>
          </w:tcPr>
          <w:p w:rsidR="009564D7" w:rsidRPr="009223B3" w:rsidRDefault="009564D7" w:rsidP="00CD36EA">
            <w:pPr>
              <w:autoSpaceDE w:val="0"/>
              <w:autoSpaceDN w:val="0"/>
              <w:adjustRightInd w:val="0"/>
              <w:rPr>
                <w:rFonts w:cstheme="minorHAnsi"/>
                <w:b/>
                <w:color w:val="FFFFFF" w:themeColor="background1"/>
                <w:sz w:val="18"/>
                <w:szCs w:val="18"/>
              </w:rPr>
            </w:pPr>
            <w:r w:rsidRPr="009223B3">
              <w:rPr>
                <w:rFonts w:cstheme="minorHAnsi"/>
                <w:b/>
                <w:color w:val="FFFFFF" w:themeColor="background1"/>
                <w:sz w:val="18"/>
                <w:szCs w:val="18"/>
              </w:rPr>
              <w:t>Recomendación</w:t>
            </w:r>
          </w:p>
        </w:tc>
      </w:tr>
      <w:tr w:rsidR="009564D7" w:rsidRPr="009223B3" w:rsidTr="00CD36EA">
        <w:trPr>
          <w:cantSplit/>
          <w:jc w:val="center"/>
        </w:trPr>
        <w:tc>
          <w:tcPr>
            <w:tcW w:w="562" w:type="dxa"/>
          </w:tcPr>
          <w:p w:rsidR="009564D7" w:rsidRPr="009223B3" w:rsidRDefault="009564D7" w:rsidP="00CD36EA">
            <w:pPr>
              <w:rPr>
                <w:rFonts w:cstheme="minorHAnsi"/>
                <w:sz w:val="18"/>
                <w:szCs w:val="18"/>
              </w:rPr>
            </w:pPr>
            <w:r w:rsidRPr="009223B3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224" w:type="dxa"/>
          </w:tcPr>
          <w:p w:rsidR="009564D7" w:rsidRPr="00FA465F" w:rsidRDefault="009564D7" w:rsidP="00CD36EA">
            <w:pPr>
              <w:rPr>
                <w:sz w:val="18"/>
                <w:szCs w:val="18"/>
              </w:rPr>
            </w:pPr>
            <w:r w:rsidRPr="00FA465F">
              <w:rPr>
                <w:sz w:val="18"/>
                <w:szCs w:val="18"/>
              </w:rPr>
              <w:t>Específica de Desempeño PAE 2015</w:t>
            </w:r>
          </w:p>
        </w:tc>
        <w:tc>
          <w:tcPr>
            <w:tcW w:w="1611" w:type="dxa"/>
          </w:tcPr>
          <w:p w:rsidR="009564D7" w:rsidRPr="00FA465F" w:rsidRDefault="009564D7" w:rsidP="00CD36EA">
            <w:pPr>
              <w:rPr>
                <w:sz w:val="18"/>
                <w:szCs w:val="18"/>
              </w:rPr>
            </w:pPr>
            <w:r w:rsidRPr="00FA465F">
              <w:rPr>
                <w:sz w:val="18"/>
                <w:szCs w:val="18"/>
              </w:rPr>
              <w:t>El Programa no cuenta con evaluaciones de impacto que puedan arrojar resultados atribuibles completamente a la intervención del Programa.</w:t>
            </w:r>
          </w:p>
        </w:tc>
        <w:tc>
          <w:tcPr>
            <w:tcW w:w="1121" w:type="dxa"/>
          </w:tcPr>
          <w:p w:rsidR="009564D7" w:rsidRPr="00FA465F" w:rsidRDefault="009564D7" w:rsidP="00CD36EA">
            <w:pPr>
              <w:rPr>
                <w:sz w:val="18"/>
                <w:szCs w:val="18"/>
              </w:rPr>
            </w:pPr>
            <w:r w:rsidRPr="00FA465F">
              <w:rPr>
                <w:sz w:val="18"/>
                <w:szCs w:val="18"/>
              </w:rPr>
              <w:t xml:space="preserve">No fue atendida </w:t>
            </w:r>
          </w:p>
        </w:tc>
        <w:tc>
          <w:tcPr>
            <w:tcW w:w="1714" w:type="dxa"/>
          </w:tcPr>
          <w:p w:rsidR="009564D7" w:rsidRPr="00FA465F" w:rsidRDefault="009564D7" w:rsidP="00CD36EA">
            <w:pPr>
              <w:rPr>
                <w:sz w:val="18"/>
                <w:szCs w:val="18"/>
              </w:rPr>
            </w:pPr>
            <w:r w:rsidRPr="00FA465F">
              <w:rPr>
                <w:sz w:val="18"/>
                <w:szCs w:val="18"/>
              </w:rPr>
              <w:t>La respuesta institucional a esta observación fue: "Respecto de la falta de una evaluación de impacto del programa, si bien es cierto que no se cuenta con una evaluación de impacto, se estudiarán las opciones a fin de contar con mayores elementos que permitan identificar de una forma más clara los resultados del programa".</w:t>
            </w:r>
          </w:p>
        </w:tc>
        <w:tc>
          <w:tcPr>
            <w:tcW w:w="1275" w:type="dxa"/>
          </w:tcPr>
          <w:p w:rsidR="009564D7" w:rsidRPr="00FA465F" w:rsidRDefault="009564D7" w:rsidP="00CD36EA">
            <w:pPr>
              <w:rPr>
                <w:sz w:val="18"/>
                <w:szCs w:val="18"/>
              </w:rPr>
            </w:pPr>
            <w:r w:rsidRPr="00FA465F">
              <w:rPr>
                <w:sz w:val="18"/>
                <w:szCs w:val="18"/>
              </w:rPr>
              <w:t>Informe de la Evaluación Específica de Desempeño 2014 – 2015.</w:t>
            </w:r>
          </w:p>
          <w:p w:rsidR="009564D7" w:rsidRPr="00FA465F" w:rsidRDefault="009564D7" w:rsidP="00CD36EA">
            <w:pPr>
              <w:rPr>
                <w:sz w:val="18"/>
                <w:szCs w:val="18"/>
              </w:rPr>
            </w:pPr>
            <w:r w:rsidRPr="00FA465F">
              <w:rPr>
                <w:sz w:val="18"/>
                <w:szCs w:val="18"/>
              </w:rPr>
              <w:t xml:space="preserve">Valoración de la información de desempeño presentada por el </w:t>
            </w:r>
            <w:r w:rsidRPr="00FA465F">
              <w:rPr>
                <w:i/>
                <w:sz w:val="18"/>
                <w:szCs w:val="18"/>
              </w:rPr>
              <w:t>Programa</w:t>
            </w:r>
            <w:r w:rsidRPr="00FA465F">
              <w:rPr>
                <w:sz w:val="18"/>
                <w:szCs w:val="18"/>
              </w:rPr>
              <w:t>.</w:t>
            </w:r>
          </w:p>
        </w:tc>
        <w:tc>
          <w:tcPr>
            <w:tcW w:w="1413" w:type="dxa"/>
          </w:tcPr>
          <w:p w:rsidR="009564D7" w:rsidRPr="009223B3" w:rsidRDefault="009564D7" w:rsidP="00CD36EA">
            <w:pPr>
              <w:rPr>
                <w:sz w:val="18"/>
                <w:szCs w:val="18"/>
              </w:rPr>
            </w:pPr>
            <w:r w:rsidRPr="009223B3">
              <w:rPr>
                <w:sz w:val="18"/>
                <w:szCs w:val="18"/>
              </w:rPr>
              <w:t>Realizar las gestiones para que se realice una evaluación de impacto.</w:t>
            </w:r>
          </w:p>
        </w:tc>
      </w:tr>
    </w:tbl>
    <w:p w:rsidR="009564D7" w:rsidRPr="00705178" w:rsidRDefault="009564D7" w:rsidP="009564D7">
      <w:pPr>
        <w:autoSpaceDE w:val="0"/>
        <w:autoSpaceDN w:val="0"/>
        <w:adjustRightInd w:val="0"/>
        <w:jc w:val="both"/>
        <w:rPr>
          <w:rFonts w:ascii="Calibri" w:eastAsia="Calibri" w:hAnsi="Calibri" w:cs="Times New Roman"/>
          <w:color w:val="262626" w:themeColor="text1" w:themeTint="D9"/>
        </w:rPr>
      </w:pPr>
    </w:p>
    <w:p w:rsidR="009564D7" w:rsidRPr="00705178" w:rsidRDefault="009564D7" w:rsidP="009564D7">
      <w:pPr>
        <w:jc w:val="both"/>
        <w:rPr>
          <w:color w:val="262626" w:themeColor="text1" w:themeTint="D9"/>
          <w:highlight w:val="yellow"/>
        </w:rPr>
      </w:pPr>
    </w:p>
    <w:p w:rsidR="009564D7" w:rsidRPr="00705178" w:rsidRDefault="009564D7" w:rsidP="009564D7">
      <w:pPr>
        <w:autoSpaceDE w:val="0"/>
        <w:autoSpaceDN w:val="0"/>
        <w:adjustRightInd w:val="0"/>
        <w:jc w:val="both"/>
        <w:rPr>
          <w:color w:val="262626" w:themeColor="text1" w:themeTint="D9"/>
        </w:rPr>
      </w:pPr>
    </w:p>
    <w:p w:rsidR="00B8306D" w:rsidRDefault="00B8306D">
      <w:bookmarkStart w:id="1" w:name="_GoBack"/>
      <w:bookmarkEnd w:id="1"/>
    </w:p>
    <w:sectPr w:rsidR="00B830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4D7"/>
    <w:rsid w:val="00414E62"/>
    <w:rsid w:val="009564D7"/>
    <w:rsid w:val="00B8306D"/>
    <w:rsid w:val="00D5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7F4574-3290-4398-B196-0411B8668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4D7"/>
    <w:pPr>
      <w:spacing w:after="200" w:line="276" w:lineRule="auto"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564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9564D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956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Rios</dc:creator>
  <cp:keywords/>
  <dc:description/>
  <cp:lastModifiedBy>Octavio Rios</cp:lastModifiedBy>
  <cp:revision>1</cp:revision>
  <dcterms:created xsi:type="dcterms:W3CDTF">2018-06-30T02:10:00Z</dcterms:created>
  <dcterms:modified xsi:type="dcterms:W3CDTF">2018-06-30T02:10:00Z</dcterms:modified>
</cp:coreProperties>
</file>